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32" w:rsidRDefault="002C7E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коллеги!</w:t>
      </w:r>
    </w:p>
    <w:p w:rsidR="00593369" w:rsidRDefault="00593369" w:rsidP="00593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отмечено во вступительном слове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Владимирской области количество нарушений, допущенных при осуществлении вещания, по сравнению с прошлым годом существенно возросло. В выступлении постараюсь осветить основные типовые нарушения, попытаемся установить пути их недопущения.</w:t>
      </w:r>
    </w:p>
    <w:p w:rsidR="00D72563" w:rsidRDefault="00D72563" w:rsidP="00593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6477D" w:rsidRPr="009D3BCA" w:rsidRDefault="0056477D" w:rsidP="0056477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D3BCA">
        <w:rPr>
          <w:rFonts w:ascii="Times New Roman" w:eastAsia="Times New Roman" w:hAnsi="Times New Roman" w:cs="Times New Roman"/>
          <w:sz w:val="28"/>
          <w:u w:val="single"/>
        </w:rPr>
        <w:t>Соблюдение требований лицензии об объеме вещания.</w:t>
      </w:r>
    </w:p>
    <w:p w:rsidR="009D3BCA" w:rsidRPr="00645A7C" w:rsidRDefault="00036BB4" w:rsidP="009D3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3</w:t>
      </w:r>
    </w:p>
    <w:p w:rsidR="0056477D" w:rsidRPr="0056477D" w:rsidRDefault="0056477D" w:rsidP="0056477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 вещания – количество часов вещания каждого СМИ, указанного в лицензии в неделю. При указании в лицензии нескольких СМИ должен соблюдаться объем вещания каждого.</w:t>
      </w:r>
    </w:p>
    <w:p w:rsidR="00531113" w:rsidRDefault="00531113" w:rsidP="00531113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должно осуществляться вещание всех каналов, указанных в лицензии.</w:t>
      </w:r>
    </w:p>
    <w:p w:rsidR="0056477D" w:rsidRDefault="0056477D" w:rsidP="0056477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объем вещания радиоканала (телеканала) не превышает максимальный объем, указанный при регистрации средства массовой информации, и учредителем не принято решение об изменении (о сокращении) максимального объема вещания СМИ, то обязанность уведомлять регистрирующий орган о меньшем объеме отсутствует.</w:t>
      </w:r>
    </w:p>
    <w:p w:rsidR="0056477D" w:rsidRDefault="0056477D" w:rsidP="0056477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Вместе с тем, в течение месяца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изменения периодичности выпуска средства массовой информации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учредитель обязан уведомить об этом регистрирующий орган.</w:t>
      </w:r>
    </w:p>
    <w:p w:rsidR="0056477D" w:rsidRDefault="0056477D" w:rsidP="0056477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3BCA" w:rsidRDefault="009D3BCA" w:rsidP="009D3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C667E">
        <w:rPr>
          <w:rFonts w:ascii="Times New Roman" w:eastAsia="Times New Roman" w:hAnsi="Times New Roman" w:cs="Times New Roman"/>
          <w:sz w:val="28"/>
          <w:u w:val="single"/>
        </w:rPr>
        <w:t xml:space="preserve">Соблюдение требований лицензии о направлении вещания </w:t>
      </w:r>
      <w:r w:rsidRPr="00CF5B54">
        <w:rPr>
          <w:rFonts w:ascii="Times New Roman" w:eastAsia="Times New Roman" w:hAnsi="Times New Roman" w:cs="Times New Roman"/>
          <w:sz w:val="28"/>
        </w:rPr>
        <w:t>(приложение 1 к лицензии на вещание).</w:t>
      </w:r>
    </w:p>
    <w:p w:rsidR="009D3BCA" w:rsidRDefault="009D3BCA" w:rsidP="009D3BCA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тематических направлений.</w:t>
      </w:r>
    </w:p>
    <w:p w:rsidR="009D3BCA" w:rsidRPr="00645A7C" w:rsidRDefault="009D3BCA" w:rsidP="009D3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4</w:t>
      </w:r>
    </w:p>
    <w:p w:rsidR="009D3BCA" w:rsidRDefault="009D3BCA" w:rsidP="009D3BCA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разделе «Пояснения к заполнению бланка «Программная концепция вещания» или бланка «Сведения о программной направленности телеканала (радиоканала)» для соискателей лицензий указаны </w:t>
      </w:r>
      <w:r w:rsidRPr="001C30F9">
        <w:rPr>
          <w:rFonts w:ascii="Times New Roman" w:eastAsia="Times New Roman" w:hAnsi="Times New Roman" w:cs="Times New Roman"/>
          <w:b/>
          <w:sz w:val="28"/>
          <w:u w:val="single"/>
        </w:rPr>
        <w:t>в качестве рекомендации</w:t>
      </w:r>
      <w:r>
        <w:rPr>
          <w:rFonts w:ascii="Times New Roman" w:eastAsia="Times New Roman" w:hAnsi="Times New Roman" w:cs="Times New Roman"/>
          <w:sz w:val="28"/>
        </w:rPr>
        <w:t xml:space="preserve"> основные направления вещания, их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виды, а также их краткая характеристика. Однако данные рекомендации не охватывают весь спектр возможных тематических направлений вещания, и соискатель лицензии или вещатель имеет право указать в заявлении на оформление (переоформление) лицензии </w:t>
      </w:r>
      <w:r w:rsidRPr="001C30F9">
        <w:rPr>
          <w:rFonts w:ascii="Times New Roman" w:eastAsia="Times New Roman" w:hAnsi="Times New Roman" w:cs="Times New Roman"/>
          <w:b/>
          <w:sz w:val="28"/>
          <w:u w:val="single"/>
        </w:rPr>
        <w:t>любое иное направление вещания</w:t>
      </w:r>
      <w:r>
        <w:rPr>
          <w:rFonts w:ascii="Times New Roman" w:eastAsia="Times New Roman" w:hAnsi="Times New Roman" w:cs="Times New Roman"/>
          <w:sz w:val="28"/>
        </w:rPr>
        <w:t xml:space="preserve"> по своему усмотрению. И при проверке деятельности лицензиата-вещателя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исходит из указанного в лицензии наименования направления вещания и его краткой характеристики.</w:t>
      </w:r>
    </w:p>
    <w:p w:rsidR="009D3BCA" w:rsidRDefault="009D3BCA" w:rsidP="009D3BCA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приведенном примере, учитывая, что лицензиат в отдельное направление вещания выделил «Музыкально-развлекательное» направление вещания, трансляция, например, современных музыкальных композиций, популярных в подростковой аудитории, не может быть отнесена к направлению вещания «Детское».</w:t>
      </w:r>
    </w:p>
    <w:p w:rsidR="009D3BCA" w:rsidRPr="00AD529D" w:rsidRDefault="009D3BCA" w:rsidP="009D3BCA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Следует отметить, что ошибочно относить априори к направлению вещания «Детское» все программы (передачи), в которых показаны дети и подростки. Содержание программы должно соответствовать информации, указанной в разделе «Краткому характеристика» приложения 2 к лицензии для направления вещания «Детское». Например, если «Краткой характеристикой» предусмотрены «передачи для детей дошкольного возраста», то невозможно отнести к данному направлению продукцию, промаркированную производителем знаками «12+», «16+», «18+».</w:t>
      </w:r>
    </w:p>
    <w:p w:rsidR="009D3BCA" w:rsidRPr="008D5366" w:rsidRDefault="009D3BCA" w:rsidP="009D3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5</w:t>
      </w:r>
    </w:p>
    <w:p w:rsidR="009D3BCA" w:rsidRDefault="009D3BCA" w:rsidP="009D3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значение «Краткая характеристика» имеет при указании в лицензии близких по наименованию тематических направлений вещания, например, таких как «информационно-аналитическое», «информационно-публицистическое», «Информационное».</w:t>
      </w:r>
    </w:p>
    <w:p w:rsidR="009D3BCA" w:rsidRDefault="009D3BCA" w:rsidP="009D3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Обращаю внимание, что в графе «Краткая характеристика» (в отличи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раздела «Направление вещания») указываются </w:t>
      </w:r>
      <w:r w:rsidRPr="00F04B14">
        <w:rPr>
          <w:rFonts w:ascii="Times New Roman" w:eastAsia="Times New Roman" w:hAnsi="Times New Roman" w:cs="Times New Roman"/>
          <w:sz w:val="28"/>
          <w:u w:val="single"/>
        </w:rPr>
        <w:t>возможные</w:t>
      </w:r>
      <w:r>
        <w:rPr>
          <w:rFonts w:ascii="Times New Roman" w:eastAsia="Times New Roman" w:hAnsi="Times New Roman" w:cs="Times New Roman"/>
          <w:sz w:val="28"/>
        </w:rPr>
        <w:t xml:space="preserve"> виды программ (передач), которые отнесены к определенному тематическому направлению вещания, и, следовательно, вещание всех перечисленных программ необязательно.</w:t>
      </w:r>
    </w:p>
    <w:p w:rsidR="009D3BCA" w:rsidRDefault="009D3BCA" w:rsidP="009D3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Особо отмечаю, что при наличии в программной направленности (концепции) вещания СМИ «совмещенных» направлений вещания, таких как «информационно-развлекательное», в составе СМИ должны распространяться программы (передачи), которые одновременно относятся и к информационной и к развлекательной направленности. </w:t>
      </w:r>
      <w:proofErr w:type="gramStart"/>
      <w:r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распространении в этом случае только новостные выпуски, не содержащие информации развлекательного характера, лицензионное требование будет нарушено.</w:t>
      </w:r>
    </w:p>
    <w:p w:rsidR="009D3BCA" w:rsidRDefault="009D3BCA" w:rsidP="009D3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Единственная выпускаемая региональная программа не может быть распределена поминутно на несколько различных тематических направлений вещания.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Исключения составляют случаи, когда лицензией (в разделе «Краткая характеристика предусмотрено распределение рубрик одной передачи по различным направлениям вещания.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Также недопустимо одну программу в полном объеме относить к двум различным направлениям вещания.</w:t>
      </w:r>
    </w:p>
    <w:p w:rsidR="00531113" w:rsidRPr="00517892" w:rsidRDefault="00531113" w:rsidP="0056477D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6220E" w:rsidRPr="00CF5B54" w:rsidRDefault="00CF5B54" w:rsidP="00D72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72563">
        <w:rPr>
          <w:rFonts w:ascii="Times New Roman" w:eastAsia="Times New Roman" w:hAnsi="Times New Roman" w:cs="Times New Roman"/>
          <w:sz w:val="28"/>
          <w:u w:val="single"/>
        </w:rPr>
        <w:t>Т</w:t>
      </w:r>
      <w:r w:rsidR="0056220E" w:rsidRPr="00D72563">
        <w:rPr>
          <w:rFonts w:ascii="Times New Roman" w:eastAsia="Times New Roman" w:hAnsi="Times New Roman" w:cs="Times New Roman"/>
          <w:sz w:val="28"/>
          <w:u w:val="single"/>
        </w:rPr>
        <w:t>ерритори</w:t>
      </w:r>
      <w:r w:rsidRPr="00D72563">
        <w:rPr>
          <w:rFonts w:ascii="Times New Roman" w:eastAsia="Times New Roman" w:hAnsi="Times New Roman" w:cs="Times New Roman"/>
          <w:sz w:val="28"/>
          <w:u w:val="single"/>
        </w:rPr>
        <w:t>я</w:t>
      </w:r>
      <w:r w:rsidR="0056220E" w:rsidRPr="00D72563">
        <w:rPr>
          <w:rFonts w:ascii="Times New Roman" w:eastAsia="Times New Roman" w:hAnsi="Times New Roman" w:cs="Times New Roman"/>
          <w:sz w:val="28"/>
          <w:u w:val="single"/>
        </w:rPr>
        <w:t xml:space="preserve"> вещания.</w:t>
      </w:r>
      <w:r w:rsidR="00D72563">
        <w:rPr>
          <w:rFonts w:ascii="Times New Roman" w:eastAsia="Times New Roman" w:hAnsi="Times New Roman" w:cs="Times New Roman"/>
          <w:sz w:val="28"/>
        </w:rPr>
        <w:t xml:space="preserve"> Особенно принципиален контроль </w:t>
      </w:r>
      <w:r w:rsidR="00531113">
        <w:rPr>
          <w:rFonts w:ascii="Times New Roman" w:eastAsia="Times New Roman" w:hAnsi="Times New Roman" w:cs="Times New Roman"/>
          <w:sz w:val="28"/>
        </w:rPr>
        <w:t>соответствия</w:t>
      </w:r>
      <w:r w:rsidR="00D72563">
        <w:rPr>
          <w:rFonts w:ascii="Times New Roman" w:eastAsia="Times New Roman" w:hAnsi="Times New Roman" w:cs="Times New Roman"/>
          <w:sz w:val="28"/>
        </w:rPr>
        <w:t xml:space="preserve"> фактической территории вещания территории, указанной в лицензии для </w:t>
      </w:r>
      <w:proofErr w:type="spellStart"/>
      <w:r w:rsidR="00D72563">
        <w:rPr>
          <w:rFonts w:ascii="Times New Roman" w:eastAsia="Times New Roman" w:hAnsi="Times New Roman" w:cs="Times New Roman"/>
          <w:sz w:val="28"/>
        </w:rPr>
        <w:t>вещателей-кабельшщиков</w:t>
      </w:r>
      <w:proofErr w:type="spellEnd"/>
      <w:r w:rsidR="00D72563">
        <w:rPr>
          <w:rFonts w:ascii="Times New Roman" w:eastAsia="Times New Roman" w:hAnsi="Times New Roman" w:cs="Times New Roman"/>
          <w:sz w:val="28"/>
        </w:rPr>
        <w:t>. Кабельные сети развиваются, подключаются новые города, а порой и соседние области.</w:t>
      </w:r>
    </w:p>
    <w:p w:rsidR="00645A7C" w:rsidRPr="00645A7C" w:rsidRDefault="003C6731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Слайд </w:t>
      </w:r>
      <w:r w:rsidR="00531113">
        <w:rPr>
          <w:rFonts w:ascii="Times New Roman" w:eastAsia="Times New Roman" w:hAnsi="Times New Roman" w:cs="Times New Roman"/>
          <w:b/>
          <w:i/>
          <w:sz w:val="28"/>
          <w:u w:val="single"/>
        </w:rPr>
        <w:t>6</w:t>
      </w:r>
    </w:p>
    <w:p w:rsidR="0056220E" w:rsidRDefault="0056220E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Территория вещания указывается в приложении 2 к лицензии на осуществление вещания. В ходе контрольного мероприятия Управлением анализируются:</w:t>
      </w:r>
    </w:p>
    <w:p w:rsidR="0056220E" w:rsidRDefault="0056220E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информация, имеющаяся в распоряжении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поступающая в соответствии с требованием </w:t>
      </w:r>
      <w:r w:rsidRPr="0056220E">
        <w:rPr>
          <w:rFonts w:ascii="Times New Roman" w:eastAsia="Times New Roman" w:hAnsi="Times New Roman" w:cs="Times New Roman"/>
          <w:sz w:val="28"/>
        </w:rPr>
        <w:t>ст.31.9 Закона Российской Федерации «О средствах массовой информации»</w:t>
      </w:r>
      <w:r>
        <w:rPr>
          <w:rFonts w:ascii="Times New Roman" w:eastAsia="Times New Roman" w:hAnsi="Times New Roman" w:cs="Times New Roman"/>
          <w:sz w:val="28"/>
        </w:rPr>
        <w:t xml:space="preserve"> и аналогичным требованием Федерального закона «О связи» в отношении операторов связи;</w:t>
      </w:r>
    </w:p>
    <w:p w:rsidR="0056220E" w:rsidRDefault="0056220E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ответы на запросы от операторов связи, оказывающих услуги связи для целей кабельного вещания;</w:t>
      </w:r>
    </w:p>
    <w:p w:rsidR="0056220E" w:rsidRDefault="0056220E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радиоконтроля</w:t>
      </w:r>
      <w:proofErr w:type="spellEnd"/>
      <w:r>
        <w:rPr>
          <w:rFonts w:ascii="Times New Roman" w:eastAsia="Times New Roman" w:hAnsi="Times New Roman" w:cs="Times New Roman"/>
          <w:sz w:val="28"/>
        </w:rPr>
        <w:t>, осуществляемого Управлением по Владимирской области филиала ФГУП «ГРЧЦ» в Центральном федеральном округе</w:t>
      </w:r>
      <w:r w:rsidR="00AD529D">
        <w:rPr>
          <w:rFonts w:ascii="Times New Roman" w:eastAsia="Times New Roman" w:hAnsi="Times New Roman" w:cs="Times New Roman"/>
          <w:sz w:val="28"/>
        </w:rPr>
        <w:t>.</w:t>
      </w:r>
    </w:p>
    <w:p w:rsidR="00AD529D" w:rsidRDefault="00AD529D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недопущения нарушения данного требования вещателю необходимо в договоре с оператором связи четко оговорить т</w:t>
      </w:r>
      <w:r w:rsidR="00D72563">
        <w:rPr>
          <w:rFonts w:ascii="Times New Roman" w:eastAsia="Times New Roman" w:hAnsi="Times New Roman" w:cs="Times New Roman"/>
          <w:sz w:val="28"/>
        </w:rPr>
        <w:t>ехнические параметры сети</w:t>
      </w:r>
      <w:r>
        <w:rPr>
          <w:rFonts w:ascii="Times New Roman" w:eastAsia="Times New Roman" w:hAnsi="Times New Roman" w:cs="Times New Roman"/>
          <w:sz w:val="28"/>
        </w:rPr>
        <w:t>, чтобы они соответствовали указанн</w:t>
      </w:r>
      <w:r w:rsidR="00D72563">
        <w:rPr>
          <w:rFonts w:ascii="Times New Roman" w:eastAsia="Times New Roman" w:hAnsi="Times New Roman" w:cs="Times New Roman"/>
          <w:sz w:val="28"/>
        </w:rPr>
        <w:t>ому</w:t>
      </w:r>
      <w:r>
        <w:rPr>
          <w:rFonts w:ascii="Times New Roman" w:eastAsia="Times New Roman" w:hAnsi="Times New Roman" w:cs="Times New Roman"/>
          <w:sz w:val="28"/>
        </w:rPr>
        <w:t xml:space="preserve"> в лицензии </w:t>
      </w:r>
      <w:r w:rsidR="00D72563">
        <w:rPr>
          <w:rFonts w:ascii="Times New Roman" w:eastAsia="Times New Roman" w:hAnsi="Times New Roman" w:cs="Times New Roman"/>
          <w:sz w:val="28"/>
        </w:rPr>
        <w:t>перечню</w:t>
      </w:r>
      <w:r>
        <w:rPr>
          <w:rFonts w:ascii="Times New Roman" w:eastAsia="Times New Roman" w:hAnsi="Times New Roman" w:cs="Times New Roman"/>
          <w:sz w:val="28"/>
        </w:rPr>
        <w:t>, населенны</w:t>
      </w:r>
      <w:r w:rsidR="00D72563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пункт</w:t>
      </w:r>
      <w:r w:rsidR="00D72563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в которых должна оказываться услуга связи. В дальнейшем договоры должны либо пролонгироваться, либо перезаключаться, но необходимо «отслеживать </w:t>
      </w:r>
      <w:r w:rsidR="00D72563">
        <w:rPr>
          <w:rFonts w:ascii="Times New Roman" w:eastAsia="Times New Roman" w:hAnsi="Times New Roman" w:cs="Times New Roman"/>
          <w:sz w:val="28"/>
        </w:rPr>
        <w:t xml:space="preserve">существование» оператора связи, либо вноситься изменения в приложение к лицензии. </w:t>
      </w:r>
      <w:r>
        <w:rPr>
          <w:rFonts w:ascii="Times New Roman" w:eastAsia="Times New Roman" w:hAnsi="Times New Roman" w:cs="Times New Roman"/>
          <w:sz w:val="28"/>
        </w:rPr>
        <w:t>Не следует забывать, что соблюдение данного требования лицензии – обязанность вещателя.</w:t>
      </w:r>
    </w:p>
    <w:p w:rsidR="00AD529D" w:rsidRDefault="00AD529D" w:rsidP="005622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D5366" w:rsidRPr="00FC667E" w:rsidRDefault="00C30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FC667E">
        <w:rPr>
          <w:rFonts w:ascii="Times New Roman" w:eastAsia="Times New Roman" w:hAnsi="Times New Roman" w:cs="Times New Roman"/>
          <w:sz w:val="28"/>
          <w:u w:val="single"/>
        </w:rPr>
        <w:t>Выходные данные.</w:t>
      </w:r>
    </w:p>
    <w:p w:rsidR="00CF5B54" w:rsidRPr="00772C6F" w:rsidRDefault="00CF5B54" w:rsidP="00CF5B54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72C6F">
        <w:rPr>
          <w:rFonts w:ascii="Times New Roman" w:eastAsia="Times New Roman" w:hAnsi="Times New Roman" w:cs="Times New Roman"/>
          <w:sz w:val="28"/>
        </w:rPr>
        <w:t xml:space="preserve">Выходные данные должны располагаться только в выпусках </w:t>
      </w:r>
      <w:proofErr w:type="gramStart"/>
      <w:r w:rsidRPr="00772C6F">
        <w:rPr>
          <w:rFonts w:ascii="Times New Roman" w:eastAsia="Times New Roman" w:hAnsi="Times New Roman" w:cs="Times New Roman"/>
          <w:sz w:val="28"/>
        </w:rPr>
        <w:t>соответствующего</w:t>
      </w:r>
      <w:proofErr w:type="gramEnd"/>
      <w:r w:rsidRPr="00772C6F">
        <w:rPr>
          <w:rFonts w:ascii="Times New Roman" w:eastAsia="Times New Roman" w:hAnsi="Times New Roman" w:cs="Times New Roman"/>
          <w:sz w:val="28"/>
        </w:rPr>
        <w:t xml:space="preserve"> СМИ. Не должно быть выходных данных регионального СМИ, например, в ночном эфире сетевого партнера, в выпусках рекламы сетевого партнера и т.п.</w:t>
      </w:r>
    </w:p>
    <w:p w:rsidR="00CF5B54" w:rsidRDefault="00CF5B54" w:rsidP="00CF5B54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72C6F">
        <w:rPr>
          <w:rFonts w:ascii="Times New Roman" w:eastAsia="Times New Roman" w:hAnsi="Times New Roman" w:cs="Times New Roman"/>
          <w:sz w:val="28"/>
        </w:rPr>
        <w:t xml:space="preserve">Выпуск </w:t>
      </w:r>
      <w:proofErr w:type="gramStart"/>
      <w:r w:rsidRPr="00772C6F">
        <w:rPr>
          <w:rFonts w:ascii="Times New Roman" w:eastAsia="Times New Roman" w:hAnsi="Times New Roman" w:cs="Times New Roman"/>
          <w:sz w:val="28"/>
        </w:rPr>
        <w:t>регионального</w:t>
      </w:r>
      <w:proofErr w:type="gramEnd"/>
      <w:r w:rsidRPr="00772C6F">
        <w:rPr>
          <w:rFonts w:ascii="Times New Roman" w:eastAsia="Times New Roman" w:hAnsi="Times New Roman" w:cs="Times New Roman"/>
          <w:sz w:val="28"/>
        </w:rPr>
        <w:t xml:space="preserve"> СМИ должен начинаться объявлением выходных данных. После окончания выпуска регионального СМИ должны быть выходные данные сетевого партнера. Если Вы определите иной способ обозначить окончание вещания регионального СМИ и начало вещание СМИ сетевого партнера – пожалуйста. При этом напоминаю, что логотип телеканала, не мо</w:t>
      </w:r>
      <w:r w:rsidR="00FC667E">
        <w:rPr>
          <w:rFonts w:ascii="Times New Roman" w:eastAsia="Times New Roman" w:hAnsi="Times New Roman" w:cs="Times New Roman"/>
          <w:sz w:val="28"/>
        </w:rPr>
        <w:t>же</w:t>
      </w:r>
      <w:r w:rsidRPr="00772C6F">
        <w:rPr>
          <w:rFonts w:ascii="Times New Roman" w:eastAsia="Times New Roman" w:hAnsi="Times New Roman" w:cs="Times New Roman"/>
          <w:sz w:val="28"/>
        </w:rPr>
        <w:t>т обозначать вещание того или иного СМИ.</w:t>
      </w:r>
    </w:p>
    <w:p w:rsidR="00CF5B54" w:rsidRPr="00CF5B54" w:rsidRDefault="003C6731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7</w:t>
      </w:r>
    </w:p>
    <w:p w:rsidR="00CF5B54" w:rsidRDefault="00CF5B54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порядка размещения выходных данных показана на слайде.</w:t>
      </w:r>
    </w:p>
    <w:p w:rsidR="00EB27B0" w:rsidRDefault="00EB27B0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4 раз в течение одних суток вещания, полные входные данные объявляются:</w:t>
      </w:r>
    </w:p>
    <w:p w:rsidR="00EB27B0" w:rsidRDefault="00EB27B0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каждом выходе, если объем непрерывного вещания составляет менее 180 минут</w:t>
      </w:r>
      <w:r w:rsidR="00F54D54">
        <w:rPr>
          <w:rFonts w:ascii="Times New Roman" w:eastAsia="Times New Roman" w:hAnsi="Times New Roman" w:cs="Times New Roman"/>
          <w:sz w:val="28"/>
        </w:rPr>
        <w:t>;</w:t>
      </w:r>
    </w:p>
    <w:p w:rsidR="00F54D54" w:rsidRDefault="00F54D54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при каждом выходе, а также во время эфира, чтобы общее количество объявлений полных выходных данных составило не менее 4 ра</w:t>
      </w:r>
      <w:r w:rsidR="00C60594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 в сутки, если объем непрерывного вещания составляет более 180 минут в сутки.</w:t>
      </w:r>
    </w:p>
    <w:p w:rsidR="00CF5B54" w:rsidRPr="00CF5B54" w:rsidRDefault="003C6731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8</w:t>
      </w:r>
    </w:p>
    <w:p w:rsidR="00CF5B54" w:rsidRDefault="00CF5B54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следующем сайте перечислены основные требования к размещению информации об ограничении распространения среди детей материалов, распространяемых посредством телевизионного и радиовещания.</w:t>
      </w:r>
    </w:p>
    <w:p w:rsidR="00517892" w:rsidRDefault="0057518E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</w:t>
      </w:r>
      <w:r w:rsidR="00517892">
        <w:rPr>
          <w:rFonts w:ascii="Times New Roman" w:eastAsia="Times New Roman" w:hAnsi="Times New Roman" w:cs="Times New Roman"/>
          <w:sz w:val="28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</w:rPr>
        <w:t xml:space="preserve">обращаю внимание на </w:t>
      </w:r>
      <w:r w:rsidR="00517892">
        <w:rPr>
          <w:rFonts w:ascii="Times New Roman" w:eastAsia="Times New Roman" w:hAnsi="Times New Roman" w:cs="Times New Roman"/>
          <w:sz w:val="28"/>
        </w:rPr>
        <w:t>следующие два момента:</w:t>
      </w:r>
    </w:p>
    <w:p w:rsidR="0057518E" w:rsidRDefault="00517892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7518E">
        <w:rPr>
          <w:rFonts w:ascii="Times New Roman" w:eastAsia="Times New Roman" w:hAnsi="Times New Roman" w:cs="Times New Roman"/>
          <w:sz w:val="28"/>
        </w:rPr>
        <w:t>необходимость в соответствии с требованием закона размещения информации об ограничении</w:t>
      </w:r>
      <w:r>
        <w:rPr>
          <w:rFonts w:ascii="Times New Roman" w:eastAsia="Times New Roman" w:hAnsi="Times New Roman" w:cs="Times New Roman"/>
          <w:sz w:val="28"/>
        </w:rPr>
        <w:t xml:space="preserve"> для детей (включая «0+») на объявлениях о проведении массовых мероприятий;</w:t>
      </w:r>
    </w:p>
    <w:p w:rsidR="00517892" w:rsidRDefault="00517892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A3B49">
        <w:rPr>
          <w:rFonts w:ascii="Times New Roman" w:eastAsia="Times New Roman" w:hAnsi="Times New Roman" w:cs="Times New Roman"/>
          <w:sz w:val="28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8"/>
        </w:rPr>
        <w:t>размещение знака информационной продукции в анонсах телепередач.</w:t>
      </w:r>
    </w:p>
    <w:p w:rsidR="00063BF8" w:rsidRPr="00063BF8" w:rsidRDefault="003C6731" w:rsidP="00F54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9</w:t>
      </w:r>
    </w:p>
    <w:p w:rsidR="00CF5B54" w:rsidRDefault="00063BF8" w:rsidP="0057518E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части 3 статьи 16 Федерального закона «Об охране здоровья граждан от воздействия окружающего табачного дыма и последствий потребления табака» при демонстрации аудиовизуальных произведений, включая теле- и видеофильмы, теле-, виде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кинохроникальных</w:t>
      </w:r>
      <w:proofErr w:type="spellEnd"/>
      <w:r w:rsidR="0057518E">
        <w:rPr>
          <w:rFonts w:ascii="Times New Roman" w:eastAsia="Times New Roman" w:hAnsi="Times New Roman" w:cs="Times New Roman"/>
          <w:sz w:val="28"/>
        </w:rPr>
        <w:t xml:space="preserve"> программ, в которых осуществляется демонстрация табачных изделий и процесса потребления табака, вещатель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57518E" w:rsidRDefault="0057518E" w:rsidP="0057518E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Обращаю ваше внимание, что если телепрограмма представляет собой музыкальный блок, в состав которого входят несколько аудиовизуальных произведений, в одном из которых осуществл</w:t>
      </w:r>
      <w:r w:rsidR="00645A7C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ется демонстрация табачных изделий и процесса потребления табака, то размещение социальной рекламы о вреде курения вначале такой телепрограммы (музыкального блока) признается надлежащим исполнением требования закона даже при отсутствии такой социальной рекламы непосредственно перед той частью произведения, в которой происходит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демонстрация табачных изделий. Кроме </w:t>
      </w:r>
      <w:r>
        <w:rPr>
          <w:rFonts w:ascii="Times New Roman" w:eastAsia="Times New Roman" w:hAnsi="Times New Roman" w:cs="Times New Roman"/>
          <w:sz w:val="28"/>
        </w:rPr>
        <w:lastRenderedPageBreak/>
        <w:t>того трансляция такой рекламы допустима в любое время аудиовизуального произведения и не содержит привязки к непосредственному моменту такой демонстрации (например в</w:t>
      </w:r>
      <w:r w:rsidR="00645A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конце художественного фильма).</w:t>
      </w:r>
    </w:p>
    <w:p w:rsidR="003F11A0" w:rsidRDefault="003F11A0" w:rsidP="0057518E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C3B25" w:rsidRPr="008C3B25" w:rsidRDefault="008C3B25" w:rsidP="0057518E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8C3B25">
        <w:rPr>
          <w:rFonts w:ascii="Times New Roman" w:eastAsia="Times New Roman" w:hAnsi="Times New Roman" w:cs="Times New Roman"/>
          <w:sz w:val="28"/>
          <w:u w:val="single"/>
        </w:rPr>
        <w:t>Обязательный экземпляр</w:t>
      </w:r>
    </w:p>
    <w:p w:rsidR="008C3B25" w:rsidRPr="00063BF8" w:rsidRDefault="008C3B25" w:rsidP="008C3B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Слайд 10</w:t>
      </w:r>
    </w:p>
    <w:p w:rsidR="00F06592" w:rsidRDefault="00F06592" w:rsidP="0057518E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контрольно-надзорных мероприятий выявлялись также нарушения, связанные с неисполнением требований о доставке обязательного экземпляра документов. Во всех 4 случаях причина – упущения сотрудников вещателей или </w:t>
      </w:r>
      <w:r w:rsidR="008C3B25">
        <w:rPr>
          <w:rFonts w:ascii="Times New Roman" w:eastAsia="Times New Roman" w:hAnsi="Times New Roman" w:cs="Times New Roman"/>
          <w:sz w:val="28"/>
        </w:rPr>
        <w:t>редакторов каналов при исполнении обязанностей. Вместе с тем напоминаю, что в адрес ВГТРК доставляются все материалы программ или передач собственного производства, вышедшие на канале. При этом мы контролируем:</w:t>
      </w:r>
    </w:p>
    <w:p w:rsidR="008C3B25" w:rsidRDefault="008C3B25" w:rsidP="0057518E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факт доставка;</w:t>
      </w:r>
    </w:p>
    <w:p w:rsidR="008C3B25" w:rsidRDefault="008C3B25" w:rsidP="0057518E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срок доставки (месяц со дня выхода);</w:t>
      </w:r>
    </w:p>
    <w:p w:rsidR="008C3B25" w:rsidRDefault="008C3B25" w:rsidP="0057518E">
      <w:pPr>
        <w:pStyle w:val="ab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полнота доставленных программ.</w:t>
      </w:r>
    </w:p>
    <w:sectPr w:rsidR="008C3B25" w:rsidSect="001C0B1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23" w:rsidRDefault="00C82823" w:rsidP="001C0B1F">
      <w:pPr>
        <w:spacing w:after="0" w:line="240" w:lineRule="auto"/>
      </w:pPr>
      <w:r>
        <w:separator/>
      </w:r>
    </w:p>
  </w:endnote>
  <w:endnote w:type="continuationSeparator" w:id="0">
    <w:p w:rsidR="00C82823" w:rsidRDefault="00C82823" w:rsidP="001C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23" w:rsidRDefault="00C82823">
      <w:pPr>
        <w:spacing w:after="0" w:line="240" w:lineRule="auto"/>
      </w:pPr>
      <w:r>
        <w:separator/>
      </w:r>
    </w:p>
  </w:footnote>
  <w:footnote w:type="continuationSeparator" w:id="0">
    <w:p w:rsidR="00C82823" w:rsidRDefault="00C8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2E1"/>
    <w:multiLevelType w:val="hybridMultilevel"/>
    <w:tmpl w:val="234C7EDE"/>
    <w:lvl w:ilvl="0" w:tplc="CE843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1354D"/>
    <w:multiLevelType w:val="hybridMultilevel"/>
    <w:tmpl w:val="2C286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C821A2"/>
    <w:multiLevelType w:val="hybridMultilevel"/>
    <w:tmpl w:val="EC58B260"/>
    <w:lvl w:ilvl="0" w:tplc="BEAC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C0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65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0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23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6E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0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8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E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09762D"/>
    <w:multiLevelType w:val="hybridMultilevel"/>
    <w:tmpl w:val="684A68F6"/>
    <w:lvl w:ilvl="0" w:tplc="B7D4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89484C"/>
    <w:multiLevelType w:val="hybridMultilevel"/>
    <w:tmpl w:val="AE0C9B52"/>
    <w:lvl w:ilvl="0" w:tplc="BD98E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3C2D43"/>
    <w:multiLevelType w:val="hybridMultilevel"/>
    <w:tmpl w:val="FD36986A"/>
    <w:lvl w:ilvl="0" w:tplc="C316C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1F"/>
    <w:rsid w:val="000127ED"/>
    <w:rsid w:val="00036BB4"/>
    <w:rsid w:val="00063BF8"/>
    <w:rsid w:val="000A1D6D"/>
    <w:rsid w:val="000A3936"/>
    <w:rsid w:val="00120696"/>
    <w:rsid w:val="001C0B1F"/>
    <w:rsid w:val="001C30F9"/>
    <w:rsid w:val="00237E86"/>
    <w:rsid w:val="002624A4"/>
    <w:rsid w:val="002B0E7A"/>
    <w:rsid w:val="002B698D"/>
    <w:rsid w:val="002C7E32"/>
    <w:rsid w:val="003B4878"/>
    <w:rsid w:val="003C6731"/>
    <w:rsid w:val="003F11A0"/>
    <w:rsid w:val="004531D0"/>
    <w:rsid w:val="004D1904"/>
    <w:rsid w:val="00517892"/>
    <w:rsid w:val="005206A0"/>
    <w:rsid w:val="00531113"/>
    <w:rsid w:val="0056220E"/>
    <w:rsid w:val="0056477D"/>
    <w:rsid w:val="0057518E"/>
    <w:rsid w:val="00583F4C"/>
    <w:rsid w:val="00593369"/>
    <w:rsid w:val="005C7231"/>
    <w:rsid w:val="005E2601"/>
    <w:rsid w:val="00645A7C"/>
    <w:rsid w:val="006660DD"/>
    <w:rsid w:val="00772C6F"/>
    <w:rsid w:val="008C3B25"/>
    <w:rsid w:val="008D5366"/>
    <w:rsid w:val="00991DDA"/>
    <w:rsid w:val="009A3B49"/>
    <w:rsid w:val="009D3BCA"/>
    <w:rsid w:val="00A46045"/>
    <w:rsid w:val="00A93E57"/>
    <w:rsid w:val="00AD529D"/>
    <w:rsid w:val="00AF400E"/>
    <w:rsid w:val="00BA55AA"/>
    <w:rsid w:val="00BB5EE7"/>
    <w:rsid w:val="00BF3D6D"/>
    <w:rsid w:val="00C3042C"/>
    <w:rsid w:val="00C60594"/>
    <w:rsid w:val="00C82823"/>
    <w:rsid w:val="00CF1971"/>
    <w:rsid w:val="00CF5B54"/>
    <w:rsid w:val="00D72563"/>
    <w:rsid w:val="00D8080B"/>
    <w:rsid w:val="00E026EB"/>
    <w:rsid w:val="00E37E31"/>
    <w:rsid w:val="00EB27B0"/>
    <w:rsid w:val="00EE2CC8"/>
    <w:rsid w:val="00F04B14"/>
    <w:rsid w:val="00F06592"/>
    <w:rsid w:val="00F40AD2"/>
    <w:rsid w:val="00F54D54"/>
    <w:rsid w:val="00F666C6"/>
    <w:rsid w:val="00FA4D94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1C0B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1C0B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1C0B1F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1C0B1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1C0B1F"/>
    <w:rPr>
      <w:sz w:val="20"/>
    </w:rPr>
  </w:style>
  <w:style w:type="character" w:styleId="a6">
    <w:name w:val="footnote reference"/>
    <w:basedOn w:val="a0"/>
    <w:uiPriority w:val="99"/>
    <w:semiHidden/>
    <w:unhideWhenUsed/>
    <w:rsid w:val="001C0B1F"/>
    <w:rPr>
      <w:vertAlign w:val="superscript"/>
    </w:rPr>
  </w:style>
  <w:style w:type="paragraph" w:customStyle="1" w:styleId="Heading1">
    <w:name w:val="Heading 1"/>
    <w:basedOn w:val="a"/>
    <w:next w:val="a"/>
    <w:uiPriority w:val="9"/>
    <w:qFormat/>
    <w:rsid w:val="001C0B1F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1C0B1F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uiPriority w:val="99"/>
    <w:unhideWhenUsed/>
    <w:rsid w:val="001C0B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1C0B1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1C0B1F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1C0B1F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1C0B1F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1C0B1F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1C0B1F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1C0B1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A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3A2F-ABE4-40A2-9A93-7971E48D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URKN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</dc:creator>
  <cp:lastModifiedBy>Grigoriev</cp:lastModifiedBy>
  <cp:revision>14</cp:revision>
  <cp:lastPrinted>2018-09-18T11:32:00Z</cp:lastPrinted>
  <dcterms:created xsi:type="dcterms:W3CDTF">2018-09-18T06:12:00Z</dcterms:created>
  <dcterms:modified xsi:type="dcterms:W3CDTF">2018-11-21T12:02:00Z</dcterms:modified>
</cp:coreProperties>
</file>