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смотря на интенсивную профилактическую работу в 2017 году Управлением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Владимирской области было выявлено 122 нарушения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требований законодательства о средствах массовой информации. В том числе при вещании телерадиоканалов - 35 (в том чис</w:t>
      </w:r>
      <w:r>
        <w:rPr>
          <w:rFonts w:ascii="Times New Roman" w:eastAsia="Times New Roman" w:hAnsi="Times New Roman" w:cs="Times New Roman"/>
          <w:sz w:val="28"/>
        </w:rPr>
        <w:t>ле 14 в СМИ).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сегодняшнем семинаре мы продолжим разбирать наиболее "актуальные" нарушения, допускаемые в этой сфере деятельности. Кроме того я остановлюсь на вопросах, требующих особого внимания с Вашей стороны.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Выходные данные при вещании радиоканал</w:t>
      </w:r>
      <w:r>
        <w:rPr>
          <w:rFonts w:ascii="Times New Roman" w:eastAsia="Times New Roman" w:hAnsi="Times New Roman" w:cs="Times New Roman"/>
          <w:sz w:val="28"/>
        </w:rPr>
        <w:t>ов.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Объем выходных данных определен Законом " О средствах массовой информации" (с учетом требований Федерального закона "О защите детей от информации, причиняющей вред их здоровью и развитию" и приказа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Минкомсвязи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№230 от 27.09.2012). Выходные данные для р</w:t>
      </w:r>
      <w:r>
        <w:rPr>
          <w:rFonts w:ascii="Times New Roman" w:eastAsia="Times New Roman" w:hAnsi="Times New Roman" w:cs="Times New Roman"/>
          <w:sz w:val="28"/>
        </w:rPr>
        <w:t>адиоканала включают в себя: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наименование (название) радиоканала;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сообщение об ограничении распространения радиоканала;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наименование зарегистрировавшего радиоканал органа и регистрационный номер.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решением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выходные данные</w:t>
      </w:r>
      <w:r>
        <w:rPr>
          <w:rFonts w:ascii="Times New Roman" w:eastAsia="Times New Roman" w:hAnsi="Times New Roman" w:cs="Times New Roman"/>
          <w:sz w:val="28"/>
        </w:rPr>
        <w:t xml:space="preserve"> в полном объеме должны размещаться в эфире не реже четырех раз в сутки (при непрерывном вещании или при четырех и более вставках в сутки), остальные объявления выходных данных должны содержать (как минимум) наименование (название) радиоканала и возрастные</w:t>
      </w:r>
      <w:r>
        <w:rPr>
          <w:rFonts w:ascii="Times New Roman" w:eastAsia="Times New Roman" w:hAnsi="Times New Roman" w:cs="Times New Roman"/>
          <w:sz w:val="28"/>
        </w:rPr>
        <w:t xml:space="preserve"> ограничения.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Выходные данные должны размещаться вначале выхода радиоканала, в том числе после перерыва на рекламу либо на время трансляции канала сетевого партнера.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обладаем информацией, что все федеральные каналы раздали своим сетевым партнерам </w:t>
      </w:r>
      <w:proofErr w:type="spellStart"/>
      <w:r>
        <w:rPr>
          <w:rFonts w:ascii="Times New Roman" w:eastAsia="Times New Roman" w:hAnsi="Times New Roman" w:cs="Times New Roman"/>
          <w:sz w:val="28"/>
        </w:rPr>
        <w:t>джингл</w:t>
      </w:r>
      <w:r>
        <w:rPr>
          <w:rFonts w:ascii="Times New Roman" w:eastAsia="Times New Roman" w:hAnsi="Times New Roman" w:cs="Times New Roman"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своего радиоканала, который должен вставляться региональным вещателем после окончания своего времени вещания.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Знак информационной продукции, сообщение об ограничении распространения информационной продукции.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размещения знака определяется прика</w:t>
      </w:r>
      <w:r>
        <w:rPr>
          <w:rFonts w:ascii="Times New Roman" w:eastAsia="Times New Roman" w:hAnsi="Times New Roman" w:cs="Times New Roman"/>
          <w:sz w:val="28"/>
        </w:rPr>
        <w:t xml:space="preserve">зом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Минкомсвязи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№202 от 17.08.2012 (телевидение).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сопровождения сообщением об ограничении распространения информационной продукции определяется приказом №230 от 27.09.2012 (радиовещание).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 и сообщение при отсутствии информации запрещенной или о</w:t>
      </w:r>
      <w:r>
        <w:rPr>
          <w:rFonts w:ascii="Times New Roman" w:eastAsia="Times New Roman" w:hAnsi="Times New Roman" w:cs="Times New Roman"/>
          <w:sz w:val="28"/>
        </w:rPr>
        <w:t>граниченной для распространения среди детей (0+) в телеканалах и радиоканалах не размещается.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Вначале этого года в адрес всех вещателей телеканалов направлялось письмо о порядке демонстрации знака информационной продукции при трансляции телепрограмм. </w:t>
      </w:r>
      <w:proofErr w:type="gramStart"/>
      <w:r>
        <w:rPr>
          <w:rFonts w:ascii="Times New Roman" w:eastAsia="Times New Roman" w:hAnsi="Times New Roman" w:cs="Times New Roman"/>
          <w:sz w:val="28"/>
        </w:rPr>
        <w:t>В кот</w:t>
      </w:r>
      <w:r>
        <w:rPr>
          <w:rFonts w:ascii="Times New Roman" w:eastAsia="Times New Roman" w:hAnsi="Times New Roman" w:cs="Times New Roman"/>
          <w:sz w:val="28"/>
        </w:rPr>
        <w:t xml:space="preserve">ором, напомню, указывалось, что знак должен быть не меньше размера логотипа канала, демонстрироваться на экране не менее 8 секунд. </w:t>
      </w:r>
      <w:proofErr w:type="gramEnd"/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Важно</w:t>
      </w:r>
      <w:r>
        <w:rPr>
          <w:rFonts w:ascii="Times New Roman" w:eastAsia="Times New Roman" w:hAnsi="Times New Roman" w:cs="Times New Roman"/>
          <w:sz w:val="28"/>
        </w:rPr>
        <w:t xml:space="preserve"> (об этом говорилось в письме, актуально и для радиоканалов): классификация информационной продукции осуществляется ее </w:t>
      </w:r>
      <w:r>
        <w:rPr>
          <w:rFonts w:ascii="Times New Roman" w:eastAsia="Times New Roman" w:hAnsi="Times New Roman" w:cs="Times New Roman"/>
          <w:sz w:val="28"/>
        </w:rPr>
        <w:t xml:space="preserve">производителем и (или) распространителями самостоятельно в соответствии с требованиями Федерального закона от 29.12.2010 № 436-ФЗ "О защите детей от информации, причиняющей вред их здоровью и развитию". 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Например, в соответствии со статьей 10 только </w:t>
      </w:r>
      <w:proofErr w:type="gramStart"/>
      <w:r>
        <w:rPr>
          <w:rFonts w:ascii="Times New Roman" w:eastAsia="Times New Roman" w:hAnsi="Times New Roman" w:cs="Times New Roman"/>
          <w:sz w:val="28"/>
        </w:rPr>
        <w:t>начина</w:t>
      </w:r>
      <w:r>
        <w:rPr>
          <w:rFonts w:ascii="Times New Roman" w:eastAsia="Times New Roman" w:hAnsi="Times New Roman" w:cs="Times New Roman"/>
          <w:sz w:val="28"/>
        </w:rPr>
        <w:t>я с 16-летнего возраста допускается изображение или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опасание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несчастного случая, аварии, катастрофы, заболевания, смерти, и то без натуралистического показа их последствий, которые могут вызвать у детей страх, ужас или панику. (Для детей младше 16 лет допу</w:t>
      </w:r>
      <w:r>
        <w:rPr>
          <w:rFonts w:ascii="Times New Roman" w:eastAsia="Times New Roman" w:hAnsi="Times New Roman" w:cs="Times New Roman"/>
          <w:sz w:val="28"/>
        </w:rPr>
        <w:t xml:space="preserve">скается ненатуралистическое изображение или описание несчастного случая, аварии, катастрофы либо насильственной смерти без демонстрации их последствий, которые могут вызвать у детей страх, ужас или панику). Таким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каналах (в программах, передачах</w:t>
      </w:r>
      <w:r>
        <w:rPr>
          <w:rFonts w:ascii="Times New Roman" w:eastAsia="Times New Roman" w:hAnsi="Times New Roman" w:cs="Times New Roman"/>
          <w:sz w:val="28"/>
        </w:rPr>
        <w:t>) с возрастным ограничением 12+ и меньше сообщение о ДТП не должно содержать детализации, а уж тем более показа (описания) последствий аварий.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Порядок подсчета концепции вещания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позицией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порядок подсчета концепции вещани</w:t>
      </w:r>
      <w:r>
        <w:rPr>
          <w:rFonts w:ascii="Times New Roman" w:eastAsia="Times New Roman" w:hAnsi="Times New Roman" w:cs="Times New Roman"/>
          <w:sz w:val="28"/>
        </w:rPr>
        <w:t>я следующий. Из общего времени вещания канала вычитается время, затраченное на рекламу (в том числе социальную, политическую), объявление выходных данных. Процентные соотношения направлений вещания подсчитываются исходя из оставшегося времени вещания.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</w:rPr>
        <w:t xml:space="preserve">сведения. Социальная реклама, политическая реклама (в </w:t>
      </w:r>
      <w:proofErr w:type="spellStart"/>
      <w:r>
        <w:rPr>
          <w:rFonts w:ascii="Times New Roman" w:eastAsia="Times New Roman" w:hAnsi="Times New Roman" w:cs="Times New Roman"/>
          <w:sz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</w:rPr>
        <w:t>. предвыборная агитация) в соответствии с Федеральным законом "О рекламе" (ст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>) не входит в расчет времени, затраченного на рекламу (20% времени вещания в течение суток для радио и 15% времени вещани</w:t>
      </w:r>
      <w:r>
        <w:rPr>
          <w:rFonts w:ascii="Times New Roman" w:eastAsia="Times New Roman" w:hAnsi="Times New Roman" w:cs="Times New Roman"/>
          <w:sz w:val="28"/>
        </w:rPr>
        <w:t>я в течение часа для телевидения).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Требования по соблюдению ст.19.1.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Очень кратко.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может быть учредителем и (или) соучредителем СМИ (в </w:t>
      </w:r>
      <w:proofErr w:type="spellStart"/>
      <w:r>
        <w:rPr>
          <w:rFonts w:ascii="Times New Roman" w:eastAsia="Times New Roman" w:hAnsi="Times New Roman" w:cs="Times New Roman"/>
          <w:sz w:val="28"/>
        </w:rPr>
        <w:t>т.ч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елерадиоканалов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учредителем и (или) соучредителем организации-вещателя лицо с иностранным участием, а также </w:t>
      </w:r>
      <w:r>
        <w:rPr>
          <w:rFonts w:ascii="Times New Roman" w:eastAsia="Times New Roman" w:hAnsi="Times New Roman" w:cs="Times New Roman"/>
          <w:sz w:val="28"/>
        </w:rPr>
        <w:t>физическое лицо имеющее гражданство иностранного государства или лицо без гражданства.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 может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быть главным редактором, руководителем вещательной организации иностранный гражданин, лицо без гражданства, с двойным гражданством.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Суммарная доля иностранного </w:t>
      </w:r>
      <w:r>
        <w:rPr>
          <w:rFonts w:ascii="Times New Roman" w:eastAsia="Times New Roman" w:hAnsi="Times New Roman" w:cs="Times New Roman"/>
          <w:sz w:val="28"/>
        </w:rPr>
        <w:t>капитала во всех учредителях учредителя СМИ или вещательной организации не может превышать 20%.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Уведомления об изменениях в СМИ.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1 января 2018 года вступили в силу </w:t>
      </w:r>
      <w:proofErr w:type="spellStart"/>
      <w:r>
        <w:rPr>
          <w:rFonts w:ascii="Times New Roman" w:eastAsia="Times New Roman" w:hAnsi="Times New Roman" w:cs="Times New Roman"/>
          <w:sz w:val="28"/>
        </w:rPr>
        <w:t>измения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Закон "О средствах массовой информации", </w:t>
      </w:r>
      <w:proofErr w:type="gramStart"/>
      <w:r>
        <w:rPr>
          <w:rFonts w:ascii="Times New Roman" w:eastAsia="Times New Roman" w:hAnsi="Times New Roman" w:cs="Times New Roman"/>
          <w:sz w:val="28"/>
        </w:rPr>
        <w:t>связанные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том числе с регистрацией</w:t>
      </w:r>
      <w:r>
        <w:rPr>
          <w:rFonts w:ascii="Times New Roman" w:eastAsia="Times New Roman" w:hAnsi="Times New Roman" w:cs="Times New Roman"/>
          <w:sz w:val="28"/>
        </w:rPr>
        <w:t xml:space="preserve"> и перерегистрацией СМИ, которые, в частности, предусматривают выдачу вместо свидетельств о регистрации СМИ выписки из реестра зарегистрированных СМИ. Изменилось время регистрации: теперь оно составляет 30 календарных дней. Убрано из закона понятие перерег</w:t>
      </w:r>
      <w:r>
        <w:rPr>
          <w:rFonts w:ascii="Times New Roman" w:eastAsia="Times New Roman" w:hAnsi="Times New Roman" w:cs="Times New Roman"/>
          <w:sz w:val="28"/>
        </w:rPr>
        <w:t>истрации. Оно заменено на внесение изменений в реестр.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Внесение изменений (необходимость обусловлена ч.1 ст.11) производится в том же порядке, что и регистрация. При этом деятельность (выпуск) СМИ без внесения изменений недопустима (ч.1 ст.13.21 КоАП РФ на</w:t>
      </w:r>
      <w:r>
        <w:rPr>
          <w:rFonts w:ascii="Times New Roman" w:eastAsia="Times New Roman" w:hAnsi="Times New Roman" w:cs="Times New Roman"/>
          <w:sz w:val="28"/>
        </w:rPr>
        <w:t xml:space="preserve"> ЮЛ от 20 до 30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>. с конфискацией тиража). Конкретизировано понятие уведомления регистрирующего органа.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Обращаю внимание, что в соответствии с ч.2 ст.11 уведомление требуется в следующих случаях: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z w:val="28"/>
        </w:rPr>
        <w:t xml:space="preserve">В течение месяца со дня изменения места </w:t>
      </w:r>
      <w:proofErr w:type="spellStart"/>
      <w:r>
        <w:rPr>
          <w:rFonts w:ascii="Times New Roman" w:eastAsia="Times New Roman" w:hAnsi="Times New Roman" w:cs="Times New Roman"/>
          <w:sz w:val="28"/>
        </w:rPr>
        <w:t>нохождения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учредителя и (или) адреса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</w:t>
      </w:r>
      <w:r>
        <w:rPr>
          <w:rFonts w:ascii="Times New Roman" w:eastAsia="Times New Roman" w:hAnsi="Times New Roman" w:cs="Times New Roman"/>
          <w:sz w:val="28"/>
        </w:rPr>
        <w:t xml:space="preserve">ой информации </w:t>
      </w:r>
      <w:r>
        <w:rPr>
          <w:rFonts w:ascii="Times New Roman" w:eastAsia="Times New Roman" w:hAnsi="Times New Roman" w:cs="Times New Roman"/>
          <w:b/>
          <w:sz w:val="28"/>
        </w:rPr>
        <w:t>учредитель обязан</w:t>
      </w:r>
      <w:r>
        <w:rPr>
          <w:rFonts w:ascii="Times New Roman" w:eastAsia="Times New Roman" w:hAnsi="Times New Roman" w:cs="Times New Roman"/>
          <w:sz w:val="28"/>
        </w:rPr>
        <w:t xml:space="preserve"> уведомить об этом регистрирующий орган. Уведомление представляется в регистрирующий орган в </w:t>
      </w:r>
      <w:r>
        <w:rPr>
          <w:rFonts w:ascii="Times New Roman" w:eastAsia="Times New Roman" w:hAnsi="Times New Roman" w:cs="Times New Roman"/>
          <w:b/>
          <w:sz w:val="28"/>
        </w:rPr>
        <w:t>письменной форме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непосредственно</w:t>
      </w:r>
      <w:r>
        <w:rPr>
          <w:rFonts w:ascii="Times New Roman" w:eastAsia="Times New Roman" w:hAnsi="Times New Roman" w:cs="Times New Roman"/>
          <w:sz w:val="28"/>
        </w:rPr>
        <w:t xml:space="preserve"> или направляется </w:t>
      </w:r>
      <w:r>
        <w:rPr>
          <w:rFonts w:ascii="Times New Roman" w:eastAsia="Times New Roman" w:hAnsi="Times New Roman" w:cs="Times New Roman"/>
          <w:b/>
          <w:sz w:val="28"/>
        </w:rPr>
        <w:t>заказным почтовым отправлением с уведомлением</w:t>
      </w:r>
      <w:r>
        <w:rPr>
          <w:rFonts w:ascii="Times New Roman" w:eastAsia="Times New Roman" w:hAnsi="Times New Roman" w:cs="Times New Roman"/>
          <w:sz w:val="28"/>
        </w:rPr>
        <w:t xml:space="preserve"> о вручении. Уведомление может быть п</w:t>
      </w:r>
      <w:r>
        <w:rPr>
          <w:rFonts w:ascii="Times New Roman" w:eastAsia="Times New Roman" w:hAnsi="Times New Roman" w:cs="Times New Roman"/>
          <w:sz w:val="28"/>
        </w:rPr>
        <w:t xml:space="preserve">редставлено в регистрирующий орган  в форме электронного документа, </w:t>
      </w:r>
      <w:r>
        <w:rPr>
          <w:rFonts w:ascii="Times New Roman" w:eastAsia="Times New Roman" w:hAnsi="Times New Roman" w:cs="Times New Roman"/>
          <w:b/>
          <w:sz w:val="28"/>
        </w:rPr>
        <w:t>подписанного усиленной квалифицированной электронной подписью</w:t>
      </w:r>
      <w:r>
        <w:rPr>
          <w:rFonts w:ascii="Times New Roman" w:eastAsia="Times New Roman" w:hAnsi="Times New Roman" w:cs="Times New Roman"/>
          <w:sz w:val="28"/>
        </w:rPr>
        <w:t>, в том числе с использованием единого портала государственных и муниципальных услуг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." </w:t>
      </w:r>
      <w:proofErr w:type="gramEnd"/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Обратите внимание. Отныне закон требует направления уведомления, в том числе, в случае прекращения деятельности. </w:t>
      </w:r>
    </w:p>
    <w:p w:rsidR="00416540" w:rsidRDefault="00051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Ненаправление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уведомления ст.13.23 (на ЮЛ от 10 до 20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>.).</w:t>
      </w:r>
    </w:p>
    <w:p w:rsidR="00416540" w:rsidRDefault="00416540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416540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81" w:rsidRDefault="00051681">
      <w:pPr>
        <w:spacing w:after="0" w:line="240" w:lineRule="auto"/>
      </w:pPr>
      <w:r>
        <w:separator/>
      </w:r>
    </w:p>
  </w:endnote>
  <w:endnote w:type="continuationSeparator" w:id="0">
    <w:p w:rsidR="00051681" w:rsidRDefault="0005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81" w:rsidRDefault="00051681">
      <w:pPr>
        <w:spacing w:after="0" w:line="240" w:lineRule="auto"/>
      </w:pPr>
      <w:r>
        <w:separator/>
      </w:r>
    </w:p>
  </w:footnote>
  <w:footnote w:type="continuationSeparator" w:id="0">
    <w:p w:rsidR="00051681" w:rsidRDefault="00051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40"/>
    <w:rsid w:val="00051681"/>
    <w:rsid w:val="00416540"/>
    <w:rsid w:val="0094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paragraph" w:styleId="a7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a">
    <w:name w:val="Subtitle"/>
    <w:basedOn w:val="a"/>
    <w:next w:val="a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b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c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paragraph" w:styleId="a7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a">
    <w:name w:val="Subtitle"/>
    <w:basedOn w:val="a"/>
    <w:next w:val="a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b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c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5520</Characters>
  <Application>Microsoft Office Word</Application>
  <DocSecurity>0</DocSecurity>
  <Lines>46</Lines>
  <Paragraphs>12</Paragraphs>
  <ScaleCrop>false</ScaleCrop>
  <Company>РКН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Григорьев</cp:lastModifiedBy>
  <cp:revision>1</cp:revision>
  <dcterms:created xsi:type="dcterms:W3CDTF">2018-02-19T11:41:00Z</dcterms:created>
  <dcterms:modified xsi:type="dcterms:W3CDTF">2018-02-19T11:41:00Z</dcterms:modified>
</cp:coreProperties>
</file>