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2C7E32" w:rsidRDefault="00583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Становится традиционным начинать </w:t>
      </w:r>
      <w:r w:rsidR="002C7E32">
        <w:rPr>
          <w:rFonts w:ascii="Times New Roman" w:eastAsia="Times New Roman" w:hAnsi="Times New Roman" w:cs="Times New Roman"/>
          <w:sz w:val="28"/>
        </w:rPr>
        <w:t>выступление с цифр.</w:t>
      </w:r>
    </w:p>
    <w:p w:rsidR="00645A7C" w:rsidRPr="00645A7C" w:rsidRDefault="00645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645A7C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="006C22E1">
        <w:rPr>
          <w:rFonts w:ascii="Times New Roman" w:eastAsia="Times New Roman" w:hAnsi="Times New Roman" w:cs="Times New Roman"/>
          <w:b/>
          <w:i/>
          <w:sz w:val="28"/>
          <w:u w:val="single"/>
        </w:rPr>
        <w:t>2</w:t>
      </w:r>
    </w:p>
    <w:p w:rsidR="00583F4C" w:rsidRDefault="00583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девять месяцев текущего года Управлением проведено 34 контрольно-надзорных мероприятий по контролю соблюдения обязательных и лицензионных требований владельцами лицензий на осуществление вещания на территории Владимирской области. При этом </w:t>
      </w:r>
      <w:r w:rsidRPr="00583F4C">
        <w:rPr>
          <w:rFonts w:ascii="Times New Roman" w:eastAsia="Times New Roman" w:hAnsi="Times New Roman" w:cs="Times New Roman"/>
          <w:sz w:val="28"/>
        </w:rPr>
        <w:t>в 12 из 20 проведенных плановых мероприятий выявлены нарушения требований законодательства</w:t>
      </w:r>
      <w:r>
        <w:rPr>
          <w:rFonts w:ascii="Times New Roman" w:eastAsia="Times New Roman" w:hAnsi="Times New Roman" w:cs="Times New Roman"/>
          <w:sz w:val="28"/>
        </w:rPr>
        <w:t>. Это следующие нарушения:</w:t>
      </w:r>
    </w:p>
    <w:p w:rsidR="00120696" w:rsidRPr="00583F4C" w:rsidRDefault="00E026EB" w:rsidP="00583F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F4C">
        <w:rPr>
          <w:rFonts w:ascii="Times New Roman" w:eastAsia="Times New Roman" w:hAnsi="Times New Roman" w:cs="Times New Roman"/>
          <w:sz w:val="28"/>
        </w:rPr>
        <w:t>Несоблюдение объемов вещания – 5</w:t>
      </w:r>
      <w:r w:rsidR="00583F4C">
        <w:rPr>
          <w:rFonts w:ascii="Times New Roman" w:eastAsia="Times New Roman" w:hAnsi="Times New Roman" w:cs="Times New Roman"/>
          <w:sz w:val="28"/>
        </w:rPr>
        <w:t>;</w:t>
      </w:r>
    </w:p>
    <w:p w:rsidR="00120696" w:rsidRPr="00583F4C" w:rsidRDefault="00E026EB" w:rsidP="00583F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F4C">
        <w:rPr>
          <w:rFonts w:ascii="Times New Roman" w:eastAsia="Times New Roman" w:hAnsi="Times New Roman" w:cs="Times New Roman"/>
          <w:sz w:val="28"/>
        </w:rPr>
        <w:t>Несоблюдение программной направленности или концепции – 2</w:t>
      </w:r>
      <w:r w:rsidR="00583F4C">
        <w:rPr>
          <w:rFonts w:ascii="Times New Roman" w:eastAsia="Times New Roman" w:hAnsi="Times New Roman" w:cs="Times New Roman"/>
          <w:sz w:val="28"/>
        </w:rPr>
        <w:t>;</w:t>
      </w:r>
    </w:p>
    <w:p w:rsidR="00120696" w:rsidRPr="00583F4C" w:rsidRDefault="00E026EB" w:rsidP="00583F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F4C">
        <w:rPr>
          <w:rFonts w:ascii="Times New Roman" w:eastAsia="Times New Roman" w:hAnsi="Times New Roman" w:cs="Times New Roman"/>
          <w:sz w:val="28"/>
        </w:rPr>
        <w:t xml:space="preserve">Несоблюдение требований о вещании указанного в лицензии телеканала или радиоканала </w:t>
      </w:r>
      <w:r w:rsidR="00583F4C">
        <w:rPr>
          <w:rFonts w:ascii="Times New Roman" w:eastAsia="Times New Roman" w:hAnsi="Times New Roman" w:cs="Times New Roman"/>
          <w:sz w:val="28"/>
        </w:rPr>
        <w:t>–</w:t>
      </w:r>
      <w:r w:rsidRPr="00583F4C">
        <w:rPr>
          <w:rFonts w:ascii="Times New Roman" w:eastAsia="Times New Roman" w:hAnsi="Times New Roman" w:cs="Times New Roman"/>
          <w:sz w:val="28"/>
        </w:rPr>
        <w:t xml:space="preserve"> 2</w:t>
      </w:r>
      <w:r w:rsidR="00583F4C">
        <w:rPr>
          <w:rFonts w:ascii="Times New Roman" w:eastAsia="Times New Roman" w:hAnsi="Times New Roman" w:cs="Times New Roman"/>
          <w:sz w:val="28"/>
        </w:rPr>
        <w:t>;</w:t>
      </w:r>
    </w:p>
    <w:p w:rsidR="00120696" w:rsidRPr="00583F4C" w:rsidRDefault="00E026EB" w:rsidP="00583F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F4C">
        <w:rPr>
          <w:rFonts w:ascii="Times New Roman" w:eastAsia="Times New Roman" w:hAnsi="Times New Roman" w:cs="Times New Roman"/>
          <w:sz w:val="28"/>
        </w:rPr>
        <w:t>Нарушение порядка объявления выходных данных – 3</w:t>
      </w:r>
      <w:r w:rsidR="00583F4C">
        <w:rPr>
          <w:rFonts w:ascii="Times New Roman" w:eastAsia="Times New Roman" w:hAnsi="Times New Roman" w:cs="Times New Roman"/>
          <w:sz w:val="28"/>
        </w:rPr>
        <w:t>;</w:t>
      </w:r>
    </w:p>
    <w:p w:rsidR="00120696" w:rsidRPr="00583F4C" w:rsidRDefault="00E026EB" w:rsidP="00583F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F4C">
        <w:rPr>
          <w:rFonts w:ascii="Times New Roman" w:eastAsia="Times New Roman" w:hAnsi="Times New Roman" w:cs="Times New Roman"/>
          <w:sz w:val="28"/>
        </w:rPr>
        <w:t>Нарушение территории вещания – 1</w:t>
      </w:r>
      <w:r w:rsidR="00583F4C">
        <w:rPr>
          <w:rFonts w:ascii="Times New Roman" w:eastAsia="Times New Roman" w:hAnsi="Times New Roman" w:cs="Times New Roman"/>
          <w:sz w:val="28"/>
        </w:rPr>
        <w:t>;</w:t>
      </w:r>
    </w:p>
    <w:p w:rsidR="00120696" w:rsidRPr="00583F4C" w:rsidRDefault="00E026EB" w:rsidP="00583F4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83F4C">
        <w:rPr>
          <w:rFonts w:ascii="Times New Roman" w:eastAsia="Times New Roman" w:hAnsi="Times New Roman" w:cs="Times New Roman"/>
          <w:sz w:val="28"/>
        </w:rPr>
        <w:t>Нарушение установленного порядка распространения среди детей продукции с</w:t>
      </w:r>
      <w:r w:rsidR="00583F4C">
        <w:rPr>
          <w:rFonts w:ascii="Times New Roman" w:eastAsia="Times New Roman" w:hAnsi="Times New Roman" w:cs="Times New Roman"/>
          <w:sz w:val="28"/>
        </w:rPr>
        <w:t>редства массовой информации – 4 (в сентябре – 2).</w:t>
      </w:r>
    </w:p>
    <w:p w:rsidR="00583F4C" w:rsidRDefault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Рассмотрим причины нарушений и способы их недопущения.</w:t>
      </w:r>
    </w:p>
    <w:p w:rsidR="0056220E" w:rsidRPr="00CF5B54" w:rsidRDefault="00CF5B54" w:rsidP="00CF5B5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56220E" w:rsidRPr="00CF5B54">
        <w:rPr>
          <w:rFonts w:ascii="Times New Roman" w:eastAsia="Times New Roman" w:hAnsi="Times New Roman" w:cs="Times New Roman"/>
          <w:sz w:val="28"/>
        </w:rPr>
        <w:t>ерритори</w:t>
      </w:r>
      <w:r>
        <w:rPr>
          <w:rFonts w:ascii="Times New Roman" w:eastAsia="Times New Roman" w:hAnsi="Times New Roman" w:cs="Times New Roman"/>
          <w:sz w:val="28"/>
        </w:rPr>
        <w:t>я</w:t>
      </w:r>
      <w:r w:rsidR="0056220E" w:rsidRPr="00CF5B54">
        <w:rPr>
          <w:rFonts w:ascii="Times New Roman" w:eastAsia="Times New Roman" w:hAnsi="Times New Roman" w:cs="Times New Roman"/>
          <w:sz w:val="28"/>
        </w:rPr>
        <w:t xml:space="preserve"> вещания.</w:t>
      </w:r>
    </w:p>
    <w:p w:rsidR="00645A7C" w:rsidRPr="00645A7C" w:rsidRDefault="003C6731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 w:rsidR="006C22E1">
        <w:rPr>
          <w:rFonts w:ascii="Times New Roman" w:eastAsia="Times New Roman" w:hAnsi="Times New Roman" w:cs="Times New Roman"/>
          <w:b/>
          <w:i/>
          <w:sz w:val="28"/>
          <w:u w:val="single"/>
        </w:rPr>
        <w:t>3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Территория вещания указывается в приложении 2 к лицензии на осуществление вещания. В ходе контрольного мероприятия Управлением анализируются: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информация, имеющаяся в распоряжении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поступающая в соответствии с требованием </w:t>
      </w:r>
      <w:r w:rsidRPr="0056220E">
        <w:rPr>
          <w:rFonts w:ascii="Times New Roman" w:eastAsia="Times New Roman" w:hAnsi="Times New Roman" w:cs="Times New Roman"/>
          <w:sz w:val="28"/>
        </w:rPr>
        <w:t>ст.31.9 Закона Российской Федерации «О средствах массовой информации»</w:t>
      </w:r>
      <w:r>
        <w:rPr>
          <w:rFonts w:ascii="Times New Roman" w:eastAsia="Times New Roman" w:hAnsi="Times New Roman" w:cs="Times New Roman"/>
          <w:sz w:val="28"/>
        </w:rPr>
        <w:t xml:space="preserve"> и аналогичным требованием Федерального закона «О связи» в отношении операторов связи;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ответы на запросы от операторов связи, оказывающих услуги связи для целей кабельного вещания;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sz w:val="28"/>
        </w:rPr>
        <w:t>, осуществляемого Управлением по Владимирской области филиала ФГУП «ГРЧЦ» в Центральном федеральном округе</w:t>
      </w:r>
      <w:r w:rsidR="00AD529D">
        <w:rPr>
          <w:rFonts w:ascii="Times New Roman" w:eastAsia="Times New Roman" w:hAnsi="Times New Roman" w:cs="Times New Roman"/>
          <w:sz w:val="28"/>
        </w:rPr>
        <w:t>.</w:t>
      </w:r>
    </w:p>
    <w:p w:rsidR="00AD529D" w:rsidRDefault="00AD529D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недопущения нарушения данного требования вещателю необходимо в договоре с оператором связи четко оговорить технические параметры передатчика (для эфирного вещания), чтобы они соответствовали указанному в лицензии охвату населения, или, соответственно для кабельного вещания, населенные пункты в которых должна оказываться услуга связи. В дальнейшем договоры должны либо пролонгироваться, либо перезаключаться, но необходимо «отслеживать существование» оператора связи. Не следует забывать, что соблюдение данного требования лицензии – обязанность вещателя.</w:t>
      </w:r>
    </w:p>
    <w:p w:rsidR="00AD529D" w:rsidRDefault="00AD529D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45A7C" w:rsidRPr="00645A7C" w:rsidRDefault="006C22E1" w:rsidP="00645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4</w:t>
      </w:r>
    </w:p>
    <w:p w:rsidR="00AD529D" w:rsidRDefault="00AD529D" w:rsidP="00CF5B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F5B54">
        <w:rPr>
          <w:rFonts w:ascii="Times New Roman" w:eastAsia="Times New Roman" w:hAnsi="Times New Roman" w:cs="Times New Roman"/>
          <w:sz w:val="28"/>
        </w:rPr>
        <w:t>Соблюдение требований лицензии о концепции (направлении) вещания</w:t>
      </w:r>
      <w:r w:rsidR="002B0E7A" w:rsidRPr="00CF5B54">
        <w:rPr>
          <w:rFonts w:ascii="Times New Roman" w:eastAsia="Times New Roman" w:hAnsi="Times New Roman" w:cs="Times New Roman"/>
          <w:sz w:val="28"/>
        </w:rPr>
        <w:t xml:space="preserve"> (приложение 1 к лицензии на вещание)</w:t>
      </w:r>
      <w:r w:rsidRPr="00CF5B54">
        <w:rPr>
          <w:rFonts w:ascii="Times New Roman" w:eastAsia="Times New Roman" w:hAnsi="Times New Roman" w:cs="Times New Roman"/>
          <w:sz w:val="28"/>
        </w:rPr>
        <w:t>.</w:t>
      </w:r>
    </w:p>
    <w:p w:rsidR="002B0E7A" w:rsidRPr="002B0E7A" w:rsidRDefault="002B0E7A" w:rsidP="002B0E7A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0E7A">
        <w:rPr>
          <w:rFonts w:ascii="Times New Roman" w:eastAsia="Times New Roman" w:hAnsi="Times New Roman" w:cs="Times New Roman"/>
          <w:sz w:val="28"/>
        </w:rPr>
        <w:t>При подсчете процентного соотношения тематических направлений вещания за 100% принимается общий объем вещания данного СМИ в течение календарной недели за вычетом времени, затраченного на рекламу и объявление выхо</w:t>
      </w:r>
      <w:r w:rsidR="001C30F9">
        <w:rPr>
          <w:rFonts w:ascii="Times New Roman" w:eastAsia="Times New Roman" w:hAnsi="Times New Roman" w:cs="Times New Roman"/>
          <w:sz w:val="28"/>
        </w:rPr>
        <w:t>дных данных.</w:t>
      </w:r>
    </w:p>
    <w:p w:rsidR="00AD529D" w:rsidRDefault="001C30F9" w:rsidP="00AD529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тематических направлений.</w:t>
      </w:r>
    </w:p>
    <w:p w:rsidR="00645A7C" w:rsidRPr="00645A7C" w:rsidRDefault="006C22E1" w:rsidP="00AD529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5</w:t>
      </w:r>
    </w:p>
    <w:p w:rsidR="001C30F9" w:rsidRDefault="001C30F9" w:rsidP="00AD529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разделе «Пояснения к заполнению бланка «Програм</w:t>
      </w:r>
      <w:r w:rsidR="00645A7C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ная концепция вещания» или бланка «Сведения о программной направленности телеканала (радиоканала)» для соискателей лицензий указаны </w:t>
      </w:r>
      <w:r w:rsidRPr="001C30F9">
        <w:rPr>
          <w:rFonts w:ascii="Times New Roman" w:eastAsia="Times New Roman" w:hAnsi="Times New Roman" w:cs="Times New Roman"/>
          <w:b/>
          <w:sz w:val="28"/>
          <w:u w:val="single"/>
        </w:rPr>
        <w:t>в качестве рекомендации</w:t>
      </w:r>
      <w:r>
        <w:rPr>
          <w:rFonts w:ascii="Times New Roman" w:eastAsia="Times New Roman" w:hAnsi="Times New Roman" w:cs="Times New Roman"/>
          <w:sz w:val="28"/>
        </w:rPr>
        <w:t xml:space="preserve"> основные нап</w:t>
      </w:r>
      <w:r w:rsidR="00645A7C">
        <w:rPr>
          <w:rFonts w:ascii="Times New Roman" w:eastAsia="Times New Roman" w:hAnsi="Times New Roman" w:cs="Times New Roman"/>
          <w:sz w:val="28"/>
        </w:rPr>
        <w:t>равления вещания</w:t>
      </w:r>
      <w:r>
        <w:rPr>
          <w:rFonts w:ascii="Times New Roman" w:eastAsia="Times New Roman" w:hAnsi="Times New Roman" w:cs="Times New Roman"/>
          <w:sz w:val="28"/>
        </w:rPr>
        <w:t xml:space="preserve">, их виды, а также их краткая характеристика. Однако данные рекомендации не охватывают весь спектр возможных тематических направлений вещания, и соискатель лицензии или вещатель имеет право указать в заявлении на оформление (переоформление) лицензии </w:t>
      </w:r>
      <w:r w:rsidRPr="001C30F9">
        <w:rPr>
          <w:rFonts w:ascii="Times New Roman" w:eastAsia="Times New Roman" w:hAnsi="Times New Roman" w:cs="Times New Roman"/>
          <w:b/>
          <w:sz w:val="28"/>
          <w:u w:val="single"/>
        </w:rPr>
        <w:t>любое иное направление вещания</w:t>
      </w:r>
      <w:r>
        <w:rPr>
          <w:rFonts w:ascii="Times New Roman" w:eastAsia="Times New Roman" w:hAnsi="Times New Roman" w:cs="Times New Roman"/>
          <w:sz w:val="28"/>
        </w:rPr>
        <w:t xml:space="preserve"> по своему усмотрению. И при проверке деятельности лицензиата-вещателя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исходит из указанного в лицензии наименования направления вещания и его краткой характеристики.</w:t>
      </w:r>
    </w:p>
    <w:p w:rsidR="000127ED" w:rsidRDefault="000127ED" w:rsidP="00AD529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приведенном примере, учитывая, что лицензиат в отде</w:t>
      </w:r>
      <w:r w:rsidR="00645A7C">
        <w:rPr>
          <w:rFonts w:ascii="Times New Roman" w:eastAsia="Times New Roman" w:hAnsi="Times New Roman" w:cs="Times New Roman"/>
          <w:sz w:val="28"/>
        </w:rPr>
        <w:t>льное направление вещания выдел</w:t>
      </w:r>
      <w:r>
        <w:rPr>
          <w:rFonts w:ascii="Times New Roman" w:eastAsia="Times New Roman" w:hAnsi="Times New Roman" w:cs="Times New Roman"/>
          <w:sz w:val="28"/>
        </w:rPr>
        <w:t>ил «Музыкально-развлекательное» направление вещания, трансляция, например, современных музыкальных композиций, популярных в подростковой аудитории, не может быть отнесена к направлению вещания «Детское».</w:t>
      </w:r>
    </w:p>
    <w:p w:rsidR="000127ED" w:rsidRPr="00AD529D" w:rsidRDefault="000127ED" w:rsidP="00AD529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Следует отметить, что ошибочно относить априори к направлению вещания «Детское» все программы (передачи), в которых показаны дети и подростки. Содержание программы должно соответствовать информации, указанной в разделе «Краткому характеристика» приложения 2 к лицензии для направления вещания «Детское». Например, если «Краткой характеристикой» предусмотрены «передачи для детей </w:t>
      </w:r>
      <w:r w:rsidR="00F04B14">
        <w:rPr>
          <w:rFonts w:ascii="Times New Roman" w:eastAsia="Times New Roman" w:hAnsi="Times New Roman" w:cs="Times New Roman"/>
          <w:sz w:val="28"/>
        </w:rPr>
        <w:t>дошкольного возраста», то невозможно отнести к данному направлению продукцию, промаркированную производителем знаками «12+», «16+», «18+».</w:t>
      </w:r>
    </w:p>
    <w:p w:rsidR="008D5366" w:rsidRPr="008D5366" w:rsidRDefault="006C22E1" w:rsidP="008D5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6</w:t>
      </w:r>
    </w:p>
    <w:p w:rsidR="00583F4C" w:rsidRDefault="00F04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значение «Краткая характеристика» имеет при указании в лицензии близких по наименованию тематических направлений вещания, например, таких как «информационно-аналитическое», «информационно-публицистическое», «Информационное».</w:t>
      </w:r>
    </w:p>
    <w:p w:rsidR="00F04B14" w:rsidRDefault="00F04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Обращаю внимание, что в графе «Краткая характеристика» (в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раздела «Направление вещания») указываются </w:t>
      </w:r>
      <w:r w:rsidRPr="00F04B14">
        <w:rPr>
          <w:rFonts w:ascii="Times New Roman" w:eastAsia="Times New Roman" w:hAnsi="Times New Roman" w:cs="Times New Roman"/>
          <w:sz w:val="28"/>
          <w:u w:val="single"/>
        </w:rPr>
        <w:t>возможные</w:t>
      </w:r>
      <w:r>
        <w:rPr>
          <w:rFonts w:ascii="Times New Roman" w:eastAsia="Times New Roman" w:hAnsi="Times New Roman" w:cs="Times New Roman"/>
          <w:sz w:val="28"/>
        </w:rPr>
        <w:t xml:space="preserve"> виды программ (передач), которые отнесены к определенному тематическому направлению вещания, и, следовательно, вещание всех перечисленных программ необязательно.</w:t>
      </w:r>
    </w:p>
    <w:p w:rsidR="00583F4C" w:rsidRDefault="008D5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 отмечаю, что при наличии в программной направленности (концепции) вещания СМИ «совмещенных» направлений вещания, таких как «информационно-развлекательное», в составе СМИ должны распространяться</w:t>
      </w:r>
      <w:r w:rsidR="004D1904">
        <w:rPr>
          <w:rFonts w:ascii="Times New Roman" w:eastAsia="Times New Roman" w:hAnsi="Times New Roman" w:cs="Times New Roman"/>
          <w:sz w:val="28"/>
        </w:rPr>
        <w:t xml:space="preserve"> программы (передачи), которые одновременно относятся и к информационной и к развлекательной направленности. </w:t>
      </w:r>
      <w:proofErr w:type="gramStart"/>
      <w:r w:rsidR="004D1904"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 w:rsidR="004D1904">
        <w:rPr>
          <w:rFonts w:ascii="Times New Roman" w:eastAsia="Times New Roman" w:hAnsi="Times New Roman" w:cs="Times New Roman"/>
          <w:sz w:val="28"/>
        </w:rPr>
        <w:t xml:space="preserve"> при распространении в этом случае только новостные выпуски, не содержащие </w:t>
      </w:r>
      <w:r w:rsidR="004D1904">
        <w:rPr>
          <w:rFonts w:ascii="Times New Roman" w:eastAsia="Times New Roman" w:hAnsi="Times New Roman" w:cs="Times New Roman"/>
          <w:sz w:val="28"/>
        </w:rPr>
        <w:lastRenderedPageBreak/>
        <w:t>информации развлекательного характера, лицензионное требование будет нарушено.</w:t>
      </w:r>
    </w:p>
    <w:p w:rsidR="00C3042C" w:rsidRDefault="00C30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Единственная выпускаемая региональная программа не может быть распределена поминутно на несколько различных тематических направлений вещания.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Исключения составляют случаи, когда лицензией (в разделе «Краткая характеристика предусмотрено распределение рубрик одной передачи по различным направлениям вещания.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Также недопустимо одну программу в полном объеме относить к двум различным направлениям вещания.</w:t>
      </w:r>
    </w:p>
    <w:p w:rsidR="008D5366" w:rsidRDefault="00C30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данные.</w:t>
      </w:r>
    </w:p>
    <w:p w:rsidR="00CF5B54" w:rsidRPr="00772C6F" w:rsidRDefault="00CF5B54" w:rsidP="00CF5B54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Выходные данные должны располагаться только в выпусках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соответствующего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СМИ. Не должно быть выходных данных регионального СМИ, например, в ночном эфире сетевого партнера, в выпусках рекламы сетевого партнера и т.п.</w:t>
      </w:r>
    </w:p>
    <w:p w:rsidR="00CF5B54" w:rsidRDefault="00CF5B54" w:rsidP="00CF5B54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Выпуск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регионального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 должен начинаться объявлением выходных данных. После окончания выпуска регионального СМИ должны быть выходные данные сетевого партнера. Если Вы определите иной способ обозначить окончание вещания регионального СМИ и начало вещание СМИ сетевого партнера – пожалуйста. При этом напоминаю, что </w:t>
      </w:r>
      <w:proofErr w:type="spellStart"/>
      <w:r w:rsidRPr="00772C6F">
        <w:rPr>
          <w:rFonts w:ascii="Times New Roman" w:eastAsia="Times New Roman" w:hAnsi="Times New Roman" w:cs="Times New Roman"/>
          <w:sz w:val="28"/>
        </w:rPr>
        <w:t>джинглы</w:t>
      </w:r>
      <w:proofErr w:type="spellEnd"/>
      <w:r w:rsidRPr="00772C6F">
        <w:rPr>
          <w:rFonts w:ascii="Times New Roman" w:eastAsia="Times New Roman" w:hAnsi="Times New Roman" w:cs="Times New Roman"/>
          <w:sz w:val="28"/>
        </w:rPr>
        <w:t>, не являясь выходными данными, также как и логотип телеканала, не могут обозначать вещание того или иного СМИ.</w:t>
      </w:r>
    </w:p>
    <w:p w:rsidR="00CF5B54" w:rsidRPr="00CF5B54" w:rsidRDefault="006C22E1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7</w:t>
      </w:r>
    </w:p>
    <w:p w:rsidR="00CF5B54" w:rsidRDefault="00CF5B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порядка размещения выходных данных показана на слайде.</w:t>
      </w:r>
    </w:p>
    <w:p w:rsidR="00EB27B0" w:rsidRDefault="00EB27B0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4 раз в течение одних суток вещания, полные входные данные объявляются:</w:t>
      </w:r>
    </w:p>
    <w:p w:rsidR="00EB27B0" w:rsidRDefault="00EB27B0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каждом выходе, если объем непрерывного вещания составляет менее 180 минут</w:t>
      </w:r>
      <w:r w:rsidR="00F54D54">
        <w:rPr>
          <w:rFonts w:ascii="Times New Roman" w:eastAsia="Times New Roman" w:hAnsi="Times New Roman" w:cs="Times New Roman"/>
          <w:sz w:val="28"/>
        </w:rPr>
        <w:t>;</w:t>
      </w:r>
    </w:p>
    <w:p w:rsidR="00F54D54" w:rsidRDefault="00F54D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каждом выходе, а также во время эфира, чтобы общее количество объявлений полных выходных данных составило не менее 4 ра</w:t>
      </w:r>
      <w:r w:rsidR="00C60594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 в сутки, если объем непрерывного вещания составляет более 180 минут в сутки.</w:t>
      </w:r>
    </w:p>
    <w:p w:rsidR="00CF5B54" w:rsidRPr="00CF5B54" w:rsidRDefault="00C66A3E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С</w:t>
      </w:r>
      <w:r w:rsidR="006C22E1">
        <w:rPr>
          <w:rFonts w:ascii="Times New Roman" w:eastAsia="Times New Roman" w:hAnsi="Times New Roman" w:cs="Times New Roman"/>
          <w:b/>
          <w:i/>
          <w:sz w:val="28"/>
          <w:u w:val="single"/>
        </w:rPr>
        <w:t>лайд 8</w:t>
      </w:r>
    </w:p>
    <w:p w:rsidR="00CF5B54" w:rsidRDefault="00CF5B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следующем сайте перечислены основные требования к размещению информации об ограничении распространения среди детей материалов, распространяемых посредством телевизионного и радиовещания.</w:t>
      </w:r>
    </w:p>
    <w:p w:rsidR="00517892" w:rsidRDefault="0057518E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r w:rsidR="00517892">
        <w:rPr>
          <w:rFonts w:ascii="Times New Roman" w:eastAsia="Times New Roman" w:hAnsi="Times New Roman" w:cs="Times New Roman"/>
          <w:sz w:val="28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</w:rPr>
        <w:t xml:space="preserve">обращаю внимание на </w:t>
      </w:r>
      <w:r w:rsidR="00517892">
        <w:rPr>
          <w:rFonts w:ascii="Times New Roman" w:eastAsia="Times New Roman" w:hAnsi="Times New Roman" w:cs="Times New Roman"/>
          <w:sz w:val="28"/>
        </w:rPr>
        <w:t>следующие два момента:</w:t>
      </w:r>
    </w:p>
    <w:p w:rsidR="0057518E" w:rsidRDefault="00517892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7518E">
        <w:rPr>
          <w:rFonts w:ascii="Times New Roman" w:eastAsia="Times New Roman" w:hAnsi="Times New Roman" w:cs="Times New Roman"/>
          <w:sz w:val="28"/>
        </w:rPr>
        <w:t>необходимость в соответствии с требованием закона размещения информации об ограничении</w:t>
      </w:r>
      <w:r>
        <w:rPr>
          <w:rFonts w:ascii="Times New Roman" w:eastAsia="Times New Roman" w:hAnsi="Times New Roman" w:cs="Times New Roman"/>
          <w:sz w:val="28"/>
        </w:rPr>
        <w:t xml:space="preserve"> для детей (включая «0+») на объявлениях о проведении массовых мероприятий;</w:t>
      </w:r>
    </w:p>
    <w:p w:rsidR="00517892" w:rsidRDefault="00517892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A3B49">
        <w:rPr>
          <w:rFonts w:ascii="Times New Roman" w:eastAsia="Times New Roman" w:hAnsi="Times New Roman" w:cs="Times New Roman"/>
          <w:sz w:val="28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8"/>
        </w:rPr>
        <w:t>размещение знака информационной продукции в анонсах телепередач.</w:t>
      </w:r>
    </w:p>
    <w:p w:rsidR="00063BF8" w:rsidRPr="00063BF8" w:rsidRDefault="006C22E1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9</w:t>
      </w:r>
    </w:p>
    <w:p w:rsidR="00CF5B54" w:rsidRDefault="00063BF8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части 3 статьи 16 Федерального закона «Об охране здоровья граждан от воздействия окружающего табачного дыма и последствий потребления табака» при демонстрации аудиовизуальных произведений, включая теле- и видеофильмы, теле-, виде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кинохроникальных</w:t>
      </w:r>
      <w:r w:rsidR="0057518E">
        <w:rPr>
          <w:rFonts w:ascii="Times New Roman" w:eastAsia="Times New Roman" w:hAnsi="Times New Roman" w:cs="Times New Roman"/>
          <w:sz w:val="28"/>
        </w:rPr>
        <w:t xml:space="preserve"> программ, в которых осуществляется демонстрация табачных изделий и процесса потребления табака, вещатель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57518E" w:rsidRDefault="0057518E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Обращаю ваше внимание, что если телепрограмма представляет собой музыкальный блок, в состав которого входят несколько аудиовизуальных произведений, в одном из которых осуществл</w:t>
      </w:r>
      <w:r w:rsidR="00645A7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ется демонстрация табачных изделий и процесса потребления табака, то размещение социальной рекламы о вреде курения вначале такой телепрограммы (музыкального блока) признается надлежащим исполнением требования закона даже при отсутствии такой социальной рекламы непосредственно перед той частью произведения, в которой происходит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демонстрация табачных изделий. Кроме того трансляция такой рекламы допустима в любое время аудиовизуального произведения и не содержит привязки к непосредственному моменту такой демонстрации (например в</w:t>
      </w:r>
      <w:r w:rsidR="00645A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 художественного фильма).</w:t>
      </w:r>
    </w:p>
    <w:p w:rsidR="00063BF8" w:rsidRDefault="00517892" w:rsidP="0051789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последнее, прошу обратить внимание на следующий слайд.</w:t>
      </w:r>
    </w:p>
    <w:p w:rsidR="00517892" w:rsidRDefault="00517892" w:rsidP="0051789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517892">
        <w:rPr>
          <w:rFonts w:ascii="Times New Roman" w:eastAsia="Times New Roman" w:hAnsi="Times New Roman" w:cs="Times New Roman"/>
          <w:b/>
          <w:i/>
          <w:sz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="006C22E1">
        <w:rPr>
          <w:rFonts w:ascii="Times New Roman" w:eastAsia="Times New Roman" w:hAnsi="Times New Roman" w:cs="Times New Roman"/>
          <w:b/>
          <w:i/>
          <w:sz w:val="28"/>
          <w:u w:val="single"/>
        </w:rPr>
        <w:t>10</w:t>
      </w:r>
    </w:p>
    <w:p w:rsidR="00517892" w:rsidRDefault="000A3936" w:rsidP="0051789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объем вещания радиоканала (телеканала) не превышает максимальный объем, указанный при регистрации средства массовой информации, и учредителем не принято решение об изменении (о сокращении) максимального объема вещания СМИ, то обязанность уведомлять регистрирующий орган о меньшем объеме отсутствует.</w:t>
      </w:r>
    </w:p>
    <w:p w:rsidR="000A3936" w:rsidRPr="00517892" w:rsidRDefault="000A3936" w:rsidP="00517892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тем, в течение месяца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изменения периодичности выпуска средства массовой информации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учредитель обязан уведомить об этом регистрир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ующий орган.</w:t>
      </w:r>
    </w:p>
    <w:sectPr w:rsidR="000A3936" w:rsidRPr="00517892" w:rsidSect="001C0B1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AA" w:rsidRDefault="00BA55AA" w:rsidP="001C0B1F">
      <w:pPr>
        <w:spacing w:after="0" w:line="240" w:lineRule="auto"/>
      </w:pPr>
      <w:r>
        <w:separator/>
      </w:r>
    </w:p>
  </w:endnote>
  <w:endnote w:type="continuationSeparator" w:id="0">
    <w:p w:rsidR="00BA55AA" w:rsidRDefault="00BA55AA" w:rsidP="001C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AA" w:rsidRDefault="00BA55AA">
      <w:pPr>
        <w:spacing w:after="0" w:line="240" w:lineRule="auto"/>
      </w:pPr>
      <w:r>
        <w:separator/>
      </w:r>
    </w:p>
  </w:footnote>
  <w:footnote w:type="continuationSeparator" w:id="0">
    <w:p w:rsidR="00BA55AA" w:rsidRDefault="00BA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2E1"/>
    <w:multiLevelType w:val="hybridMultilevel"/>
    <w:tmpl w:val="234C7EDE"/>
    <w:lvl w:ilvl="0" w:tplc="CE843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1354D"/>
    <w:multiLevelType w:val="hybridMultilevel"/>
    <w:tmpl w:val="2C286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C821A2"/>
    <w:multiLevelType w:val="hybridMultilevel"/>
    <w:tmpl w:val="EC58B260"/>
    <w:lvl w:ilvl="0" w:tplc="BEAC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6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0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23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09762D"/>
    <w:multiLevelType w:val="hybridMultilevel"/>
    <w:tmpl w:val="684A68F6"/>
    <w:lvl w:ilvl="0" w:tplc="B7D4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9484C"/>
    <w:multiLevelType w:val="hybridMultilevel"/>
    <w:tmpl w:val="AE0C9B52"/>
    <w:lvl w:ilvl="0" w:tplc="BD98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3C2D43"/>
    <w:multiLevelType w:val="hybridMultilevel"/>
    <w:tmpl w:val="FD36986A"/>
    <w:lvl w:ilvl="0" w:tplc="C316C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B1F"/>
    <w:rsid w:val="000127ED"/>
    <w:rsid w:val="00063BF8"/>
    <w:rsid w:val="000A1D6D"/>
    <w:rsid w:val="000A3936"/>
    <w:rsid w:val="00120696"/>
    <w:rsid w:val="001C0B1F"/>
    <w:rsid w:val="001C30F9"/>
    <w:rsid w:val="00237E86"/>
    <w:rsid w:val="002624A4"/>
    <w:rsid w:val="002B0E7A"/>
    <w:rsid w:val="002B698D"/>
    <w:rsid w:val="002C7E32"/>
    <w:rsid w:val="003B4878"/>
    <w:rsid w:val="003C6731"/>
    <w:rsid w:val="004531D0"/>
    <w:rsid w:val="004D1904"/>
    <w:rsid w:val="00517892"/>
    <w:rsid w:val="005206A0"/>
    <w:rsid w:val="0056220E"/>
    <w:rsid w:val="0057518E"/>
    <w:rsid w:val="00583F4C"/>
    <w:rsid w:val="005C7231"/>
    <w:rsid w:val="00645A7C"/>
    <w:rsid w:val="006C22E1"/>
    <w:rsid w:val="00772C6F"/>
    <w:rsid w:val="008D5366"/>
    <w:rsid w:val="009A3B49"/>
    <w:rsid w:val="00A46045"/>
    <w:rsid w:val="00A93E57"/>
    <w:rsid w:val="00AD529D"/>
    <w:rsid w:val="00AF400E"/>
    <w:rsid w:val="00BA55AA"/>
    <w:rsid w:val="00BB5EE7"/>
    <w:rsid w:val="00BF3D6D"/>
    <w:rsid w:val="00C3042C"/>
    <w:rsid w:val="00C60594"/>
    <w:rsid w:val="00C66A3E"/>
    <w:rsid w:val="00CF1971"/>
    <w:rsid w:val="00CF5B54"/>
    <w:rsid w:val="00D8080B"/>
    <w:rsid w:val="00E026EB"/>
    <w:rsid w:val="00E37E31"/>
    <w:rsid w:val="00EB27B0"/>
    <w:rsid w:val="00EE2CC8"/>
    <w:rsid w:val="00F04B14"/>
    <w:rsid w:val="00F40AD2"/>
    <w:rsid w:val="00F54D54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1C0B1F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1C0B1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1C0B1F"/>
    <w:rPr>
      <w:sz w:val="20"/>
    </w:rPr>
  </w:style>
  <w:style w:type="character" w:styleId="a6">
    <w:name w:val="footnote reference"/>
    <w:basedOn w:val="a0"/>
    <w:uiPriority w:val="99"/>
    <w:semiHidden/>
    <w:unhideWhenUsed/>
    <w:rsid w:val="001C0B1F"/>
    <w:rPr>
      <w:vertAlign w:val="superscript"/>
    </w:rPr>
  </w:style>
  <w:style w:type="paragraph" w:customStyle="1" w:styleId="11">
    <w:name w:val="Заголовок 11"/>
    <w:basedOn w:val="a"/>
    <w:next w:val="a"/>
    <w:uiPriority w:val="9"/>
    <w:qFormat/>
    <w:rsid w:val="001C0B1F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1">
    <w:name w:val="Нижний колонтитул1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1C0B1F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1C0B1F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1C0B1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1C0B1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1C0B1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1C0B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EEF0-50EB-44C2-9A0E-560B52D4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Григорьев</cp:lastModifiedBy>
  <cp:revision>12</cp:revision>
  <cp:lastPrinted>2018-09-18T11:32:00Z</cp:lastPrinted>
  <dcterms:created xsi:type="dcterms:W3CDTF">2018-09-18T06:12:00Z</dcterms:created>
  <dcterms:modified xsi:type="dcterms:W3CDTF">2018-09-25T07:03:00Z</dcterms:modified>
</cp:coreProperties>
</file>